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391C5D">
      <w:pPr>
        <w:spacing w:after="0" w:line="240" w:lineRule="auto"/>
        <w:jc w:val="center"/>
        <w:rPr>
          <w:rFonts w:ascii="Arial" w:hAnsi="Arial" w:cs="Arial"/>
          <w:b/>
          <w:sz w:val="24"/>
          <w:szCs w:val="24"/>
        </w:rPr>
      </w:pPr>
    </w:p>
    <w:p w:rsidR="0055758A" w:rsidRDefault="0055758A" w:rsidP="00391C5D">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5171D2" w:rsidP="00391C5D">
      <w:pPr>
        <w:spacing w:after="0" w:line="240" w:lineRule="auto"/>
        <w:jc w:val="center"/>
        <w:rPr>
          <w:rFonts w:ascii="Arial" w:hAnsi="Arial" w:cs="Arial"/>
          <w:b/>
          <w:sz w:val="24"/>
          <w:szCs w:val="24"/>
        </w:rPr>
      </w:pPr>
      <w:r>
        <w:rPr>
          <w:rFonts w:ascii="Arial" w:hAnsi="Arial" w:cs="Arial"/>
          <w:b/>
          <w:sz w:val="24"/>
          <w:szCs w:val="24"/>
        </w:rPr>
        <w:t>February 18</w:t>
      </w:r>
      <w:r w:rsidR="00857178">
        <w:rPr>
          <w:rFonts w:ascii="Arial" w:hAnsi="Arial" w:cs="Arial"/>
          <w:b/>
          <w:sz w:val="24"/>
          <w:szCs w:val="24"/>
        </w:rPr>
        <w:t>, 2019</w:t>
      </w:r>
    </w:p>
    <w:p w:rsidR="00B5352E" w:rsidRPr="00DF43FC" w:rsidRDefault="00B5352E" w:rsidP="00391C5D">
      <w:pPr>
        <w:spacing w:after="0" w:line="240" w:lineRule="auto"/>
        <w:jc w:val="center"/>
        <w:rPr>
          <w:rFonts w:ascii="Arial" w:hAnsi="Arial" w:cs="Arial"/>
          <w:b/>
          <w:sz w:val="24"/>
          <w:szCs w:val="24"/>
        </w:rPr>
      </w:pPr>
    </w:p>
    <w:p w:rsidR="00857178" w:rsidRPr="00076762" w:rsidRDefault="0040736E" w:rsidP="00076762">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Pr="006633BD" w:rsidRDefault="006633BD" w:rsidP="005024F3">
      <w:pPr>
        <w:spacing w:after="0" w:line="240" w:lineRule="auto"/>
        <w:jc w:val="both"/>
        <w:rPr>
          <w:rFonts w:ascii="Arial" w:hAnsi="Arial" w:cs="Arial"/>
        </w:rPr>
      </w:pPr>
    </w:p>
    <w:p w:rsidR="006633BD" w:rsidRPr="006633BD" w:rsidRDefault="006633BD" w:rsidP="005024F3">
      <w:pPr>
        <w:spacing w:after="0" w:line="240" w:lineRule="auto"/>
        <w:jc w:val="both"/>
        <w:rPr>
          <w:rFonts w:ascii="Arial" w:hAnsi="Arial" w:cs="Arial"/>
          <w:b/>
        </w:rPr>
      </w:pPr>
      <w:r w:rsidRPr="006633BD">
        <w:rPr>
          <w:rFonts w:ascii="Arial" w:hAnsi="Arial" w:cs="Arial"/>
          <w:b/>
        </w:rPr>
        <w:t>Reminders:</w:t>
      </w:r>
    </w:p>
    <w:p w:rsidR="00ED161C" w:rsidRDefault="00ED161C" w:rsidP="00CD34D0">
      <w:pPr>
        <w:pStyle w:val="ListParagraph"/>
        <w:numPr>
          <w:ilvl w:val="0"/>
          <w:numId w:val="1"/>
        </w:numPr>
        <w:spacing w:after="0" w:line="240" w:lineRule="auto"/>
        <w:jc w:val="both"/>
        <w:rPr>
          <w:rFonts w:ascii="Arial" w:hAnsi="Arial" w:cs="Arial"/>
        </w:rPr>
      </w:pPr>
      <w:r w:rsidRPr="00464A2A">
        <w:rPr>
          <w:rFonts w:ascii="Arial" w:hAnsi="Arial" w:cs="Arial"/>
          <w:b/>
        </w:rPr>
        <w:t>6</w:t>
      </w:r>
      <w:r w:rsidRPr="00464A2A">
        <w:rPr>
          <w:rFonts w:ascii="Arial" w:hAnsi="Arial" w:cs="Arial"/>
          <w:b/>
          <w:vertAlign w:val="superscript"/>
        </w:rPr>
        <w:t>th</w:t>
      </w:r>
      <w:r w:rsidRPr="00464A2A">
        <w:rPr>
          <w:rFonts w:ascii="Arial" w:hAnsi="Arial" w:cs="Arial"/>
          <w:b/>
        </w:rPr>
        <w:t xml:space="preserve"> Annual NCORP meeting November 14 – 16</w:t>
      </w:r>
      <w:r>
        <w:rPr>
          <w:rFonts w:ascii="Arial" w:hAnsi="Arial" w:cs="Arial"/>
        </w:rPr>
        <w:t xml:space="preserve"> in Greenville, SC at the Hyatt Regency.</w:t>
      </w:r>
    </w:p>
    <w:p w:rsidR="00464A2A" w:rsidRDefault="00464A2A" w:rsidP="00464A2A">
      <w:pPr>
        <w:pStyle w:val="ListParagraph"/>
        <w:spacing w:after="0" w:line="240" w:lineRule="auto"/>
        <w:jc w:val="both"/>
        <w:rPr>
          <w:rFonts w:ascii="Arial" w:hAnsi="Arial" w:cs="Arial"/>
        </w:rPr>
      </w:pPr>
    </w:p>
    <w:p w:rsidR="006633BD" w:rsidRPr="006633BD" w:rsidRDefault="006633BD" w:rsidP="00CD34D0">
      <w:pPr>
        <w:pStyle w:val="ListParagraph"/>
        <w:numPr>
          <w:ilvl w:val="0"/>
          <w:numId w:val="1"/>
        </w:numPr>
        <w:spacing w:after="0" w:line="240" w:lineRule="auto"/>
        <w:jc w:val="both"/>
        <w:rPr>
          <w:rFonts w:ascii="Arial" w:hAnsi="Arial" w:cs="Arial"/>
        </w:rPr>
      </w:pPr>
      <w:r w:rsidRPr="006633BD">
        <w:rPr>
          <w:rFonts w:ascii="Arial" w:hAnsi="Arial" w:cs="Arial"/>
        </w:rPr>
        <w:t>WF NCORP still requires HSP and GCP in order to obtain REDCap access.</w:t>
      </w:r>
    </w:p>
    <w:p w:rsidR="006633BD" w:rsidRPr="006633BD" w:rsidRDefault="006633BD" w:rsidP="005024F3">
      <w:pPr>
        <w:spacing w:after="0" w:line="240" w:lineRule="auto"/>
        <w:jc w:val="both"/>
        <w:rPr>
          <w:rFonts w:ascii="Arial" w:hAnsi="Arial" w:cs="Arial"/>
        </w:rPr>
      </w:pPr>
    </w:p>
    <w:p w:rsidR="006633BD" w:rsidRPr="00B53D79" w:rsidRDefault="006633BD" w:rsidP="00CD34D0">
      <w:pPr>
        <w:pStyle w:val="ListParagraph"/>
        <w:numPr>
          <w:ilvl w:val="0"/>
          <w:numId w:val="1"/>
        </w:numPr>
        <w:spacing w:after="0" w:line="240" w:lineRule="auto"/>
        <w:jc w:val="both"/>
        <w:rPr>
          <w:rStyle w:val="Hyperlink"/>
          <w:rFonts w:ascii="Arial" w:hAnsi="Arial" w:cs="Arial"/>
          <w:color w:val="auto"/>
          <w:u w:val="none"/>
        </w:rPr>
      </w:pPr>
      <w:r w:rsidRPr="006633BD">
        <w:rPr>
          <w:rFonts w:ascii="Arial" w:hAnsi="Arial" w:cs="Arial"/>
        </w:rPr>
        <w:t>If you require Specimen kits</w:t>
      </w:r>
      <w:r w:rsidR="0009422D">
        <w:rPr>
          <w:rFonts w:ascii="Arial" w:hAnsi="Arial" w:cs="Arial"/>
        </w:rPr>
        <w:t xml:space="preserve"> for your studies</w:t>
      </w:r>
      <w:r w:rsidRPr="006633BD">
        <w:rPr>
          <w:rFonts w:ascii="Arial" w:hAnsi="Arial" w:cs="Arial"/>
        </w:rPr>
        <w:t xml:space="preserve">, please send your request form to the lab at the following email address:  </w:t>
      </w:r>
      <w:hyperlink r:id="rId7" w:history="1">
        <w:r w:rsidRPr="006633BD">
          <w:rPr>
            <w:rStyle w:val="Hyperlink"/>
            <w:rFonts w:ascii="Arial" w:hAnsi="Arial" w:cs="Arial"/>
          </w:rPr>
          <w:t>7NCORP@wakehealth.edu</w:t>
        </w:r>
      </w:hyperlink>
    </w:p>
    <w:p w:rsidR="0059480C" w:rsidRPr="0001392E" w:rsidRDefault="0059480C" w:rsidP="0001392E">
      <w:pPr>
        <w:rPr>
          <w:rStyle w:val="Hyperlink"/>
          <w:rFonts w:ascii="Arial" w:hAnsi="Arial" w:cs="Arial"/>
          <w:color w:val="auto"/>
          <w:u w:val="none"/>
        </w:rPr>
      </w:pPr>
    </w:p>
    <w:p w:rsidR="0059480C" w:rsidRPr="005171D2" w:rsidRDefault="0059480C" w:rsidP="00CD34D0">
      <w:pPr>
        <w:pStyle w:val="ListParagraph"/>
        <w:numPr>
          <w:ilvl w:val="0"/>
          <w:numId w:val="1"/>
        </w:numPr>
        <w:spacing w:after="0" w:line="240" w:lineRule="auto"/>
        <w:jc w:val="both"/>
        <w:rPr>
          <w:rStyle w:val="Hyperlink"/>
          <w:rFonts w:ascii="Arial" w:hAnsi="Arial" w:cs="Arial"/>
          <w:color w:val="auto"/>
          <w:u w:val="none"/>
        </w:rPr>
      </w:pPr>
      <w:r>
        <w:rPr>
          <w:rStyle w:val="Hyperlink"/>
          <w:rFonts w:ascii="Arial" w:hAnsi="Arial" w:cs="Arial"/>
          <w:b/>
          <w:color w:val="auto"/>
        </w:rPr>
        <w:t xml:space="preserve">REDCap Upgrade </w:t>
      </w:r>
      <w:r w:rsidR="0004798B">
        <w:rPr>
          <w:rStyle w:val="Hyperlink"/>
          <w:rFonts w:ascii="Arial" w:hAnsi="Arial" w:cs="Arial"/>
          <w:b/>
          <w:color w:val="auto"/>
        </w:rPr>
        <w:t>that will affect</w:t>
      </w:r>
      <w:r>
        <w:rPr>
          <w:rStyle w:val="Hyperlink"/>
          <w:rFonts w:ascii="Arial" w:hAnsi="Arial" w:cs="Arial"/>
          <w:b/>
          <w:color w:val="auto"/>
        </w:rPr>
        <w:t xml:space="preserve"> WF20817CD – OASIS, WF10217 – WAYS, WF1803CD – CAREGIVERS,</w:t>
      </w:r>
      <w:r w:rsidR="0004798B">
        <w:rPr>
          <w:rStyle w:val="Hyperlink"/>
          <w:rFonts w:ascii="Arial" w:hAnsi="Arial" w:cs="Arial"/>
          <w:b/>
          <w:color w:val="auto"/>
        </w:rPr>
        <w:t xml:space="preserve"> and</w:t>
      </w:r>
      <w:r>
        <w:rPr>
          <w:rStyle w:val="Hyperlink"/>
          <w:rFonts w:ascii="Arial" w:hAnsi="Arial" w:cs="Arial"/>
          <w:b/>
          <w:color w:val="auto"/>
        </w:rPr>
        <w:t xml:space="preserve"> EAQ161CD</w:t>
      </w:r>
      <w:r>
        <w:rPr>
          <w:rStyle w:val="Hyperlink"/>
          <w:rFonts w:ascii="Arial" w:hAnsi="Arial" w:cs="Arial"/>
          <w:color w:val="auto"/>
          <w:u w:val="none"/>
        </w:rPr>
        <w:t xml:space="preserve"> – Beginning at 8 AM ET on Wednesday, Febr</w:t>
      </w:r>
      <w:r w:rsidR="0004798B">
        <w:rPr>
          <w:rStyle w:val="Hyperlink"/>
          <w:rFonts w:ascii="Arial" w:hAnsi="Arial" w:cs="Arial"/>
          <w:color w:val="auto"/>
          <w:u w:val="none"/>
        </w:rPr>
        <w:t xml:space="preserve">uary 20, the Wake Forest REDCap </w:t>
      </w:r>
      <w:r>
        <w:rPr>
          <w:rStyle w:val="Hyperlink"/>
          <w:rFonts w:ascii="Arial" w:hAnsi="Arial" w:cs="Arial"/>
          <w:color w:val="auto"/>
          <w:u w:val="none"/>
        </w:rPr>
        <w:t xml:space="preserve">will be down for a system-wide upgrade. The </w:t>
      </w:r>
      <w:r w:rsidR="0004798B">
        <w:rPr>
          <w:rStyle w:val="Hyperlink"/>
          <w:rFonts w:ascii="Arial" w:hAnsi="Arial" w:cs="Arial"/>
          <w:color w:val="auto"/>
          <w:u w:val="none"/>
        </w:rPr>
        <w:t xml:space="preserve">upgrade </w:t>
      </w:r>
      <w:r>
        <w:rPr>
          <w:rStyle w:val="Hyperlink"/>
          <w:rFonts w:ascii="Arial" w:hAnsi="Arial" w:cs="Arial"/>
          <w:color w:val="auto"/>
          <w:u w:val="none"/>
        </w:rPr>
        <w:t xml:space="preserve">is expected to </w:t>
      </w:r>
      <w:r w:rsidR="0004798B">
        <w:rPr>
          <w:rStyle w:val="Hyperlink"/>
          <w:rFonts w:ascii="Arial" w:hAnsi="Arial" w:cs="Arial"/>
          <w:color w:val="auto"/>
          <w:u w:val="none"/>
        </w:rPr>
        <w:t>take</w:t>
      </w:r>
      <w:r>
        <w:rPr>
          <w:rStyle w:val="Hyperlink"/>
          <w:rFonts w:ascii="Arial" w:hAnsi="Arial" w:cs="Arial"/>
          <w:color w:val="auto"/>
          <w:u w:val="none"/>
        </w:rPr>
        <w:t xml:space="preserve"> approximately 1 hour. During that time</w:t>
      </w:r>
      <w:r w:rsidR="0004798B">
        <w:rPr>
          <w:rStyle w:val="Hyperlink"/>
          <w:rFonts w:ascii="Arial" w:hAnsi="Arial" w:cs="Arial"/>
          <w:color w:val="auto"/>
          <w:u w:val="none"/>
        </w:rPr>
        <w:t>,</w:t>
      </w:r>
      <w:r>
        <w:rPr>
          <w:rStyle w:val="Hyperlink"/>
          <w:rFonts w:ascii="Arial" w:hAnsi="Arial" w:cs="Arial"/>
          <w:color w:val="auto"/>
          <w:u w:val="none"/>
        </w:rPr>
        <w:t xml:space="preserve"> all data entry and survey instruments will be inaccessible.</w:t>
      </w:r>
    </w:p>
    <w:p w:rsidR="005171D2" w:rsidRPr="005171D2" w:rsidRDefault="005171D2" w:rsidP="005171D2">
      <w:pPr>
        <w:pStyle w:val="ListParagraph"/>
        <w:rPr>
          <w:rStyle w:val="Hyperlink"/>
          <w:rFonts w:ascii="Arial" w:hAnsi="Arial" w:cs="Arial"/>
          <w:color w:val="auto"/>
          <w:u w:val="none"/>
        </w:rPr>
      </w:pPr>
    </w:p>
    <w:p w:rsidR="005171D2" w:rsidRDefault="005171D2" w:rsidP="00CD34D0">
      <w:pPr>
        <w:pStyle w:val="ListParagraph"/>
        <w:numPr>
          <w:ilvl w:val="0"/>
          <w:numId w:val="1"/>
        </w:numPr>
        <w:spacing w:after="0" w:line="240" w:lineRule="auto"/>
        <w:jc w:val="both"/>
        <w:rPr>
          <w:rStyle w:val="Hyperlink"/>
          <w:rFonts w:ascii="Arial" w:hAnsi="Arial" w:cs="Arial"/>
          <w:color w:val="auto"/>
          <w:u w:val="none"/>
        </w:rPr>
      </w:pPr>
      <w:r w:rsidRPr="005171D2">
        <w:rPr>
          <w:rStyle w:val="Hyperlink"/>
          <w:rFonts w:ascii="Arial" w:hAnsi="Arial" w:cs="Arial"/>
          <w:b/>
          <w:color w:val="auto"/>
        </w:rPr>
        <w:t xml:space="preserve">WF 01213 – Relax </w:t>
      </w:r>
      <w:r>
        <w:rPr>
          <w:rStyle w:val="Hyperlink"/>
          <w:rFonts w:ascii="Arial" w:hAnsi="Arial" w:cs="Arial"/>
          <w:color w:val="auto"/>
          <w:u w:val="none"/>
        </w:rPr>
        <w:t>– If you are a participating site for this study, please send in your devices and other equipment for this study if you do not have plans to enroll someone as we have sites that need this equipment.</w:t>
      </w:r>
    </w:p>
    <w:p w:rsidR="005171D2" w:rsidRPr="005171D2" w:rsidRDefault="005171D2" w:rsidP="005171D2">
      <w:pPr>
        <w:pStyle w:val="ListParagraph"/>
        <w:rPr>
          <w:rStyle w:val="Hyperlink"/>
          <w:rFonts w:ascii="Arial" w:hAnsi="Arial" w:cs="Arial"/>
          <w:color w:val="auto"/>
          <w:u w:val="none"/>
        </w:rPr>
      </w:pPr>
    </w:p>
    <w:p w:rsidR="005171D2" w:rsidRPr="00CD34D0" w:rsidRDefault="005171D2" w:rsidP="00CD34D0">
      <w:pPr>
        <w:pStyle w:val="ListParagraph"/>
        <w:numPr>
          <w:ilvl w:val="0"/>
          <w:numId w:val="1"/>
        </w:numPr>
        <w:spacing w:after="0" w:line="240" w:lineRule="auto"/>
        <w:jc w:val="both"/>
        <w:rPr>
          <w:rStyle w:val="Hyperlink"/>
          <w:rFonts w:ascii="Arial" w:hAnsi="Arial" w:cs="Arial"/>
          <w:color w:val="auto"/>
          <w:u w:val="none"/>
        </w:rPr>
      </w:pPr>
      <w:r w:rsidRPr="00B53D79">
        <w:rPr>
          <w:rStyle w:val="Hyperlink"/>
          <w:rFonts w:ascii="Arial" w:hAnsi="Arial" w:cs="Arial"/>
          <w:b/>
          <w:color w:val="auto"/>
        </w:rPr>
        <w:t>WF 97115 – Acupuncture</w:t>
      </w:r>
      <w:r>
        <w:rPr>
          <w:rStyle w:val="Hyperlink"/>
          <w:rFonts w:ascii="Arial" w:hAnsi="Arial" w:cs="Arial"/>
          <w:color w:val="auto"/>
          <w:u w:val="none"/>
        </w:rPr>
        <w:t xml:space="preserve"> – We would like to give a shout out to Kaiser Permanente who is now on board and actively recruiting to this study.  Please let us know if you have any barriers to recruitment or suggestions for improvement.</w:t>
      </w:r>
      <w:r w:rsidR="00B53D79">
        <w:rPr>
          <w:rStyle w:val="Hyperlink"/>
          <w:rFonts w:ascii="Arial" w:hAnsi="Arial" w:cs="Arial"/>
          <w:color w:val="auto"/>
          <w:u w:val="none"/>
        </w:rPr>
        <w:t xml:space="preserve">  We would like to thank Dr. Kay Garcia who is retiring from MD Anderson as of February 28, 2019 after 15 years of service.  NCORP truly appreciates your hard work and have enjoyed working with you through the years.  </w:t>
      </w:r>
    </w:p>
    <w:p w:rsidR="00CD34D0" w:rsidRPr="00CD34D0" w:rsidRDefault="00CD34D0" w:rsidP="00CD34D0">
      <w:pPr>
        <w:pStyle w:val="ListParagraph"/>
        <w:rPr>
          <w:rFonts w:ascii="Arial" w:hAnsi="Arial" w:cs="Arial"/>
        </w:rPr>
      </w:pPr>
    </w:p>
    <w:p w:rsidR="00CD34D0" w:rsidRPr="006633BD" w:rsidRDefault="00CD34D0" w:rsidP="00CD34D0">
      <w:pPr>
        <w:pStyle w:val="ListParagraph"/>
        <w:spacing w:after="0" w:line="240" w:lineRule="auto"/>
        <w:jc w:val="both"/>
        <w:rPr>
          <w:rFonts w:ascii="Arial" w:hAnsi="Arial" w:cs="Arial"/>
        </w:rPr>
      </w:pPr>
    </w:p>
    <w:p w:rsidR="00CD34D0" w:rsidRPr="00CD34D0" w:rsidRDefault="00CD34D0" w:rsidP="00CD34D0">
      <w:pPr>
        <w:pStyle w:val="ListParagraph"/>
        <w:numPr>
          <w:ilvl w:val="0"/>
          <w:numId w:val="1"/>
        </w:numPr>
        <w:spacing w:after="0" w:line="240" w:lineRule="auto"/>
        <w:rPr>
          <w:rFonts w:ascii="Arial" w:hAnsi="Arial" w:cs="Arial"/>
          <w:b/>
          <w:u w:val="single"/>
        </w:rPr>
      </w:pPr>
      <w:r w:rsidRPr="00CD34D0">
        <w:rPr>
          <w:rFonts w:ascii="Arial" w:hAnsi="Arial" w:cs="Arial"/>
          <w:b/>
          <w:u w:val="single"/>
        </w:rPr>
        <w:t>WF 1803CD - Caregivers, Version Date 10/23/2018, Activated 12/10/2018</w:t>
      </w:r>
    </w:p>
    <w:p w:rsidR="00CD34D0" w:rsidRPr="00CD34D0" w:rsidRDefault="00CD34D0" w:rsidP="00CD34D0">
      <w:pPr>
        <w:pStyle w:val="ListParagraph"/>
        <w:spacing w:after="0" w:line="240" w:lineRule="auto"/>
        <w:jc w:val="both"/>
        <w:rPr>
          <w:rFonts w:ascii="Arial" w:hAnsi="Arial" w:cs="Arial"/>
        </w:rPr>
      </w:pPr>
      <w:r w:rsidRPr="00CD34D0">
        <w:rPr>
          <w:rFonts w:ascii="Arial" w:hAnsi="Arial" w:cs="Arial"/>
        </w:rPr>
        <w:t xml:space="preserve">The Wake Forest NCORP RB is pleased to announce the activation of </w:t>
      </w:r>
      <w:r w:rsidRPr="00CD34D0">
        <w:rPr>
          <w:rFonts w:ascii="Arial" w:hAnsi="Arial" w:cs="Arial"/>
          <w:b/>
          <w:bCs/>
        </w:rPr>
        <w:t>WF-1803CD--Supportive Care Service Availability for Cancer Caregivers in Community Oncology Practices</w:t>
      </w:r>
      <w:r w:rsidRPr="00CD34D0">
        <w:rPr>
          <w:rFonts w:ascii="Arial" w:hAnsi="Arial" w:cs="Arial"/>
        </w:rPr>
        <w:t xml:space="preserve">. This CCDR study will accrue oncology providers and supportive care leads at participating NCORP affiliates and sub affiliates. Approved protocol documents are posted on the CTSU website. </w:t>
      </w:r>
    </w:p>
    <w:p w:rsidR="00CD34D0" w:rsidRPr="00CD34D0" w:rsidRDefault="00CD34D0" w:rsidP="00CD34D0">
      <w:pPr>
        <w:spacing w:after="0" w:line="240" w:lineRule="auto"/>
        <w:ind w:left="360"/>
        <w:jc w:val="both"/>
        <w:rPr>
          <w:rFonts w:ascii="Arial" w:hAnsi="Arial" w:cs="Arial"/>
        </w:rPr>
      </w:pPr>
    </w:p>
    <w:p w:rsidR="00857178" w:rsidRDefault="00CD34D0" w:rsidP="00CD34D0">
      <w:pPr>
        <w:pStyle w:val="ListParagraph"/>
        <w:spacing w:after="0" w:line="240" w:lineRule="auto"/>
        <w:jc w:val="both"/>
        <w:rPr>
          <w:rFonts w:ascii="Arial" w:hAnsi="Arial"/>
        </w:rPr>
      </w:pPr>
      <w:r w:rsidRPr="00CD34D0">
        <w:rPr>
          <w:rFonts w:ascii="Arial" w:hAnsi="Arial"/>
        </w:rPr>
        <w:t xml:space="preserve">Please note, the CIRB is </w:t>
      </w:r>
      <w:r w:rsidRPr="00CD34D0">
        <w:rPr>
          <w:rFonts w:ascii="Arial" w:hAnsi="Arial"/>
          <w:u w:val="single"/>
        </w:rPr>
        <w:t>not</w:t>
      </w:r>
      <w:r w:rsidRPr="00CD34D0">
        <w:rPr>
          <w:rFonts w:ascii="Arial" w:hAnsi="Arial"/>
        </w:rPr>
        <w:t xml:space="preserve"> requiring that NCORP sites seek approval to participate in this study; local NCORP staff will not be directly recruiting or consenting participants. An amendment is currently being submitted to make minor clarifying corrections, but this will not impact the initial steps of study participation (1: indicating the interest and possible grouping of affiliates/sub-affiliates and 2: confirming their eligibility). If you choose to seek local IRB approval (which is not required), you might consider submitting your documents until after Amendment 1 has been approved (estimated in early February). We look forward to working with our NCORP members on this exciting study which will provide critical information about how to best engage cancer caregivers in oncology care settings.</w:t>
      </w:r>
    </w:p>
    <w:p w:rsidR="0001392E" w:rsidRDefault="0001392E" w:rsidP="00CD34D0">
      <w:pPr>
        <w:pStyle w:val="ListParagraph"/>
        <w:spacing w:after="0" w:line="240" w:lineRule="auto"/>
        <w:jc w:val="both"/>
        <w:rPr>
          <w:rFonts w:ascii="Arial" w:hAnsi="Arial"/>
        </w:rPr>
      </w:pPr>
    </w:p>
    <w:p w:rsidR="0001392E" w:rsidRPr="0001392E" w:rsidRDefault="0001392E" w:rsidP="0001392E">
      <w:pPr>
        <w:pStyle w:val="ListParagraph"/>
        <w:numPr>
          <w:ilvl w:val="0"/>
          <w:numId w:val="1"/>
        </w:numPr>
        <w:spacing w:after="0" w:line="240" w:lineRule="auto"/>
        <w:jc w:val="both"/>
        <w:rPr>
          <w:rFonts w:ascii="Arial" w:hAnsi="Arial" w:cs="Arial"/>
          <w:b/>
          <w:u w:val="single"/>
        </w:rPr>
      </w:pPr>
      <w:r w:rsidRPr="0001392E">
        <w:rPr>
          <w:rFonts w:ascii="Arial" w:hAnsi="Arial" w:cs="Arial"/>
          <w:b/>
          <w:u w:val="single"/>
        </w:rPr>
        <w:t>EAQ161CD – Biomarker Testing in Common Solid Cancers:  An Assessment of Current Practices in Precision Oncology in the Community Setting</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This study is being conducted by an ECOG-ACRIN investigator team.  It involves a survey being sent to specific sites on biomarker testing practices in Lung, Colorectal, Breast and Melanoma cancers.</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The goal is to inform NCORP sites, and the cancer care community at large, how biomarker testing is conducted.  Anonymous, un-attributable report of findings will be shared with all responding NCORP sites, components and subcomponents.</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t>Responses will be kept strictly confidential.</w:t>
      </w:r>
    </w:p>
    <w:p w:rsidR="0001392E" w:rsidRPr="0001392E" w:rsidRDefault="0001392E" w:rsidP="0001392E">
      <w:pPr>
        <w:numPr>
          <w:ilvl w:val="0"/>
          <w:numId w:val="7"/>
        </w:numPr>
        <w:spacing w:after="0" w:line="240" w:lineRule="auto"/>
        <w:contextualSpacing/>
        <w:jc w:val="both"/>
        <w:rPr>
          <w:rFonts w:ascii="Arial" w:hAnsi="Arial" w:cs="Arial"/>
        </w:rPr>
      </w:pPr>
      <w:r w:rsidRPr="0001392E">
        <w:rPr>
          <w:rFonts w:ascii="Arial" w:hAnsi="Arial" w:cs="Arial"/>
        </w:rPr>
        <w:lastRenderedPageBreak/>
        <w:t>This study has been reviewed by the Central IRB, which determined that this study does not constitute Human Subjects Research as defined by 45 CFR 46.</w:t>
      </w:r>
    </w:p>
    <w:p w:rsidR="0001392E" w:rsidRPr="009D6007" w:rsidRDefault="0001392E" w:rsidP="0001392E">
      <w:pPr>
        <w:pStyle w:val="ListParagraph"/>
        <w:numPr>
          <w:ilvl w:val="0"/>
          <w:numId w:val="1"/>
        </w:numPr>
        <w:spacing w:after="0" w:line="240" w:lineRule="auto"/>
        <w:jc w:val="both"/>
        <w:rPr>
          <w:rFonts w:ascii="Arial" w:hAnsi="Arial" w:cs="Arial"/>
          <w:b/>
          <w:bCs/>
          <w:u w:val="single"/>
        </w:rPr>
      </w:pPr>
      <w:r w:rsidRPr="0001392E">
        <w:rPr>
          <w:rFonts w:ascii="Arial" w:hAnsi="Arial" w:cs="Arial"/>
        </w:rPr>
        <w:t xml:space="preserve">The 43 adult NCORP PIs and CCDR Leads will be sent an invitational email explaining registration procedures.  If you have questions about the study, please contact Julia Trosman, PhD at </w:t>
      </w:r>
      <w:hyperlink r:id="rId8" w:history="1">
        <w:r w:rsidR="009D6007" w:rsidRPr="00D97A3C">
          <w:rPr>
            <w:rStyle w:val="Hyperlink"/>
          </w:rPr>
          <w:t>trosman@centerforbusinessmodels.com</w:t>
        </w:r>
      </w:hyperlink>
    </w:p>
    <w:p w:rsidR="0001392E" w:rsidRPr="009D6007" w:rsidRDefault="009D6007" w:rsidP="009D6007">
      <w:pPr>
        <w:pStyle w:val="ListParagraph"/>
        <w:numPr>
          <w:ilvl w:val="0"/>
          <w:numId w:val="1"/>
        </w:numPr>
        <w:spacing w:after="0" w:line="240" w:lineRule="auto"/>
        <w:jc w:val="both"/>
        <w:rPr>
          <w:rFonts w:ascii="Arial" w:hAnsi="Arial" w:cs="Arial"/>
          <w:b/>
          <w:bCs/>
          <w:u w:val="single"/>
        </w:rPr>
      </w:pPr>
      <w:r>
        <w:rPr>
          <w:rFonts w:ascii="Arial" w:hAnsi="Arial" w:cs="Arial"/>
        </w:rPr>
        <w:t xml:space="preserve">There will be a Training Webinar offered two times. </w:t>
      </w:r>
      <w:r w:rsidR="0001392E" w:rsidRPr="009D6007">
        <w:rPr>
          <w:rFonts w:ascii="Arial" w:hAnsi="Arial" w:cs="Arial"/>
        </w:rPr>
        <w:t>The access information is the same for both EAQ161CD Training Webinars:</w:t>
      </w:r>
    </w:p>
    <w:p w:rsidR="0001392E" w:rsidRPr="0001392E" w:rsidRDefault="0001392E" w:rsidP="0001392E">
      <w:pPr>
        <w:pStyle w:val="NormalWeb"/>
        <w:numPr>
          <w:ilvl w:val="0"/>
          <w:numId w:val="5"/>
        </w:numPr>
        <w:spacing w:after="0" w:afterAutospacing="0"/>
        <w:rPr>
          <w:rFonts w:ascii="Arial" w:hAnsi="Arial" w:cs="Arial"/>
          <w:b/>
          <w:bCs/>
        </w:rPr>
      </w:pPr>
      <w:r w:rsidRPr="0001392E">
        <w:rPr>
          <w:rFonts w:ascii="Arial" w:hAnsi="Arial" w:cs="Arial"/>
          <w:b/>
          <w:bCs/>
        </w:rPr>
        <w:t>Wed 3/13/2019 at 1 pm ET</w:t>
      </w:r>
    </w:p>
    <w:p w:rsidR="0001392E" w:rsidRPr="009D6007" w:rsidRDefault="0001392E" w:rsidP="009D6007">
      <w:pPr>
        <w:pStyle w:val="NormalWeb"/>
        <w:numPr>
          <w:ilvl w:val="0"/>
          <w:numId w:val="5"/>
        </w:numPr>
        <w:spacing w:after="0" w:afterAutospacing="0"/>
        <w:rPr>
          <w:rFonts w:ascii="Arial" w:hAnsi="Arial" w:cs="Arial"/>
          <w:b/>
          <w:bCs/>
        </w:rPr>
      </w:pPr>
      <w:r w:rsidRPr="0001392E">
        <w:rPr>
          <w:rFonts w:ascii="Arial" w:hAnsi="Arial" w:cs="Arial"/>
          <w:b/>
          <w:bCs/>
        </w:rPr>
        <w:t>Tues 3/26/2019 at 10 am ET</w:t>
      </w:r>
      <w:bookmarkStart w:id="0" w:name="_GoBack"/>
      <w:bookmarkEnd w:id="0"/>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Please join my meeting from your computer, tablet or smartphone. </w:t>
      </w:r>
      <w:r w:rsidRPr="0001392E">
        <w:rPr>
          <w:rFonts w:ascii="Arial" w:hAnsi="Arial" w:cs="Arial"/>
        </w:rPr>
        <w:br/>
      </w:r>
      <w:hyperlink r:id="rId9" w:history="1">
        <w:r w:rsidRPr="0001392E">
          <w:rPr>
            <w:rStyle w:val="Hyperlink"/>
            <w:rFonts w:ascii="Arial" w:hAnsi="Arial" w:cs="Arial"/>
          </w:rPr>
          <w:t>https://global.gotomeeting.com/join/471383285 [global.gotomeeting.com]</w:t>
        </w:r>
      </w:hyperlink>
      <w:r w:rsidRPr="0001392E">
        <w:rPr>
          <w:rFonts w:ascii="Arial" w:hAnsi="Arial" w:cs="Arial"/>
        </w:rPr>
        <w:t xml:space="preserve">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You can also dial in using your phone. </w:t>
      </w:r>
      <w:r w:rsidRPr="0001392E">
        <w:rPr>
          <w:rFonts w:ascii="Arial" w:hAnsi="Arial" w:cs="Arial"/>
        </w:rPr>
        <w:br/>
        <w:t xml:space="preserve">(For supported devices, tap a one-touch number below to join instantly.)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United States: +1 (408) 650-3123 </w:t>
      </w:r>
      <w:r w:rsidRPr="0001392E">
        <w:rPr>
          <w:rFonts w:ascii="Arial" w:hAnsi="Arial" w:cs="Arial"/>
        </w:rPr>
        <w:br/>
        <w:t xml:space="preserve">- One-touch: </w:t>
      </w:r>
      <w:hyperlink r:id="rId10" w:history="1">
        <w:r w:rsidRPr="0001392E">
          <w:rPr>
            <w:rStyle w:val="Hyperlink"/>
            <w:rFonts w:ascii="Arial" w:hAnsi="Arial" w:cs="Arial"/>
          </w:rPr>
          <w:t>tel:+14086503123,,471383285#</w:t>
        </w:r>
      </w:hyperlink>
      <w:r w:rsidRPr="0001392E">
        <w:rPr>
          <w:rFonts w:ascii="Arial" w:hAnsi="Arial" w:cs="Arial"/>
        </w:rPr>
        <w:t xml:space="preserve">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Access Code: 471-383-285 </w:t>
      </w:r>
    </w:p>
    <w:p w:rsidR="0001392E" w:rsidRPr="0001392E" w:rsidRDefault="0001392E" w:rsidP="0001392E">
      <w:pPr>
        <w:pStyle w:val="NormalWeb"/>
        <w:spacing w:after="0" w:afterAutospacing="0"/>
        <w:ind w:left="720"/>
        <w:rPr>
          <w:rFonts w:ascii="Arial" w:hAnsi="Arial" w:cs="Arial"/>
        </w:rPr>
      </w:pPr>
      <w:r w:rsidRPr="0001392E">
        <w:rPr>
          <w:rFonts w:ascii="Arial" w:hAnsi="Arial" w:cs="Arial"/>
        </w:rPr>
        <w:t xml:space="preserve">Joining from a video-conferencing room or system? </w:t>
      </w:r>
      <w:r w:rsidRPr="0001392E">
        <w:rPr>
          <w:rFonts w:ascii="Arial" w:hAnsi="Arial" w:cs="Arial"/>
        </w:rPr>
        <w:br/>
        <w:t xml:space="preserve">Dial: 67.217.95.2##471383285 </w:t>
      </w:r>
      <w:r w:rsidRPr="0001392E">
        <w:rPr>
          <w:rFonts w:ascii="Arial" w:hAnsi="Arial" w:cs="Arial"/>
        </w:rPr>
        <w:br/>
        <w:t xml:space="preserve">Cisco devices: </w:t>
      </w:r>
      <w:hyperlink r:id="rId11" w:history="1">
        <w:r w:rsidRPr="0001392E">
          <w:rPr>
            <w:rStyle w:val="Hyperlink"/>
            <w:rFonts w:ascii="Arial" w:hAnsi="Arial" w:cs="Arial"/>
          </w:rPr>
          <w:t>471383285@67.217.95.2</w:t>
        </w:r>
      </w:hyperlink>
      <w:r w:rsidRPr="0001392E">
        <w:rPr>
          <w:rFonts w:ascii="Arial" w:hAnsi="Arial" w:cs="Arial"/>
        </w:rPr>
        <w:t xml:space="preserve"> </w:t>
      </w:r>
    </w:p>
    <w:p w:rsidR="0001392E" w:rsidRPr="0001392E" w:rsidRDefault="0001392E" w:rsidP="0001392E">
      <w:pPr>
        <w:spacing w:after="0" w:line="240" w:lineRule="auto"/>
        <w:ind w:left="720"/>
        <w:rPr>
          <w:rFonts w:ascii="Arial" w:hAnsi="Arial" w:cs="Arial"/>
        </w:rPr>
      </w:pPr>
    </w:p>
    <w:p w:rsidR="00076762" w:rsidRPr="0001392E" w:rsidRDefault="0001392E" w:rsidP="0001392E">
      <w:pPr>
        <w:spacing w:after="0" w:line="240" w:lineRule="auto"/>
        <w:ind w:left="720"/>
        <w:jc w:val="both"/>
        <w:rPr>
          <w:rFonts w:ascii="Arial" w:hAnsi="Arial" w:cs="Arial"/>
          <w:bCs/>
        </w:rPr>
      </w:pPr>
      <w:r w:rsidRPr="0001392E">
        <w:rPr>
          <w:rFonts w:ascii="Arial" w:hAnsi="Arial" w:cs="Arial"/>
        </w:rPr>
        <w:t xml:space="preserve">First GoToMeeting? Let's do a quick system check: </w:t>
      </w:r>
      <w:hyperlink r:id="rId12" w:history="1">
        <w:r w:rsidRPr="0001392E">
          <w:rPr>
            <w:rStyle w:val="Hyperlink"/>
            <w:rFonts w:ascii="Arial" w:hAnsi="Arial" w:cs="Arial"/>
          </w:rPr>
          <w:t>https://link.gotomeeting.com/system-check [link.gotomeeting.com]</w:t>
        </w:r>
      </w:hyperlink>
    </w:p>
    <w:p w:rsidR="00076762" w:rsidRPr="0001392E" w:rsidRDefault="00076762" w:rsidP="0001392E">
      <w:pPr>
        <w:spacing w:after="0" w:line="240" w:lineRule="auto"/>
        <w:jc w:val="both"/>
        <w:rPr>
          <w:rFonts w:ascii="Arial" w:hAnsi="Arial" w:cs="Arial"/>
          <w:b/>
          <w:bCs/>
          <w:u w:val="single"/>
        </w:rPr>
      </w:pPr>
    </w:p>
    <w:p w:rsidR="004A0767" w:rsidRDefault="004A0767" w:rsidP="00CD34D0">
      <w:pPr>
        <w:pStyle w:val="ListParagraph"/>
        <w:numPr>
          <w:ilvl w:val="0"/>
          <w:numId w:val="1"/>
        </w:numPr>
        <w:spacing w:after="0" w:line="240" w:lineRule="auto"/>
        <w:jc w:val="both"/>
        <w:rPr>
          <w:rFonts w:ascii="Arial" w:hAnsi="Arial" w:cs="Arial"/>
          <w:b/>
          <w:bCs/>
          <w:u w:val="single"/>
        </w:rPr>
      </w:pPr>
      <w:r w:rsidRPr="00CD34D0">
        <w:rPr>
          <w:rFonts w:ascii="Arial" w:hAnsi="Arial" w:cs="Arial"/>
          <w:b/>
          <w:bCs/>
          <w:u w:val="single"/>
        </w:rPr>
        <w:t>WAYS</w:t>
      </w:r>
      <w:r w:rsidR="00832431" w:rsidRPr="00CD34D0">
        <w:rPr>
          <w:rFonts w:ascii="Arial" w:hAnsi="Arial" w:cs="Arial"/>
          <w:b/>
          <w:bCs/>
          <w:u w:val="single"/>
        </w:rPr>
        <w:t xml:space="preserve"> WF-10217</w:t>
      </w:r>
      <w:r w:rsidR="007553AA" w:rsidRPr="00CD34D0">
        <w:rPr>
          <w:rFonts w:ascii="Arial" w:hAnsi="Arial" w:cs="Arial"/>
          <w:b/>
          <w:bCs/>
          <w:u w:val="single"/>
        </w:rPr>
        <w:t xml:space="preserve"> – Amendment 3 – Effective 1/21/19, all Strata open once again for additional participants</w:t>
      </w:r>
      <w:r w:rsidR="00EC2593" w:rsidRPr="00CD34D0">
        <w:rPr>
          <w:rFonts w:ascii="Arial" w:hAnsi="Arial" w:cs="Arial"/>
          <w:b/>
          <w:bCs/>
          <w:u w:val="single"/>
        </w:rPr>
        <w:t xml:space="preserve">  Each Strata will now accrue 55 to each.  The number of participants enrolled has changed to account for those participants who are being replaced.</w:t>
      </w:r>
    </w:p>
    <w:p w:rsidR="00CD34D0" w:rsidRPr="00CD34D0" w:rsidRDefault="00CD34D0" w:rsidP="00CD34D0">
      <w:pPr>
        <w:pStyle w:val="ListParagraph"/>
        <w:spacing w:after="0" w:line="240" w:lineRule="auto"/>
        <w:jc w:val="both"/>
        <w:rPr>
          <w:rFonts w:ascii="Arial" w:hAnsi="Arial" w:cs="Arial"/>
          <w:b/>
          <w:bCs/>
          <w:u w:val="single"/>
        </w:rPr>
      </w:pPr>
    </w:p>
    <w:p w:rsidR="004A5AC8" w:rsidRPr="00B53D79" w:rsidRDefault="004A5AC8" w:rsidP="00CD34D0">
      <w:pPr>
        <w:pStyle w:val="ListParagraph"/>
        <w:numPr>
          <w:ilvl w:val="0"/>
          <w:numId w:val="2"/>
        </w:numPr>
        <w:spacing w:after="0" w:line="240" w:lineRule="auto"/>
        <w:jc w:val="both"/>
        <w:rPr>
          <w:rFonts w:ascii="Arial" w:hAnsi="Arial" w:cs="Arial"/>
          <w:b/>
          <w:bCs/>
        </w:rPr>
      </w:pPr>
      <w:r w:rsidRPr="00B53D79">
        <w:rPr>
          <w:rFonts w:ascii="Arial" w:hAnsi="Arial" w:cs="Arial"/>
          <w:b/>
          <w:bCs/>
        </w:rPr>
        <w:t xml:space="preserve">Enrollment is </w:t>
      </w:r>
      <w:r w:rsidRPr="00B53D79">
        <w:rPr>
          <w:rFonts w:ascii="Arial" w:hAnsi="Arial" w:cs="Arial"/>
          <w:b/>
          <w:bCs/>
          <w:u w:val="single"/>
        </w:rPr>
        <w:t>now</w:t>
      </w:r>
      <w:r w:rsidRPr="00B53D79">
        <w:rPr>
          <w:rFonts w:ascii="Arial" w:hAnsi="Arial" w:cs="Arial"/>
          <w:b/>
          <w:bCs/>
        </w:rPr>
        <w:t xml:space="preserve"> restricted to racial/ethnic minority participants</w:t>
      </w:r>
    </w:p>
    <w:p w:rsidR="002E112B" w:rsidRPr="004A0767" w:rsidRDefault="002E112B" w:rsidP="004A0767">
      <w:pPr>
        <w:spacing w:after="0" w:line="240" w:lineRule="auto"/>
        <w:rPr>
          <w:rFonts w:ascii="Arial" w:hAnsi="Arial" w:cs="Arial"/>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2069"/>
        <w:gridCol w:w="1079"/>
        <w:gridCol w:w="3324"/>
        <w:gridCol w:w="2694"/>
      </w:tblGrid>
      <w:tr w:rsidR="004A0767" w:rsidRPr="004A0767" w:rsidTr="00264B52">
        <w:tc>
          <w:tcPr>
            <w:tcW w:w="1278" w:type="dxa"/>
            <w:tcMar>
              <w:top w:w="0" w:type="dxa"/>
              <w:left w:w="108" w:type="dxa"/>
              <w:bottom w:w="0" w:type="dxa"/>
              <w:right w:w="108" w:type="dxa"/>
            </w:tcMar>
            <w:hideMark/>
          </w:tcPr>
          <w:p w:rsidR="004A0767" w:rsidRPr="00AE5687" w:rsidRDefault="004A076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STRATUM</w:t>
            </w:r>
          </w:p>
        </w:tc>
        <w:tc>
          <w:tcPr>
            <w:tcW w:w="207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PARTICIPANTS ENROLLED</w:t>
            </w:r>
          </w:p>
        </w:tc>
        <w:tc>
          <w:tcPr>
            <w:tcW w:w="1080" w:type="dxa"/>
            <w:tcMar>
              <w:top w:w="0" w:type="dxa"/>
              <w:left w:w="108" w:type="dxa"/>
              <w:bottom w:w="0" w:type="dxa"/>
              <w:right w:w="108" w:type="dxa"/>
            </w:tcMar>
            <w:hideMark/>
          </w:tcPr>
          <w:p w:rsidR="007948D7" w:rsidRPr="00AE5687" w:rsidRDefault="007948D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AGE</w:t>
            </w:r>
          </w:p>
        </w:tc>
        <w:tc>
          <w:tcPr>
            <w:tcW w:w="333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TIME SINCE ORIGINAL CANCER DIAGNOSIS</w:t>
            </w:r>
          </w:p>
        </w:tc>
        <w:tc>
          <w:tcPr>
            <w:tcW w:w="2700" w:type="dxa"/>
            <w:tcMar>
              <w:top w:w="0" w:type="dxa"/>
              <w:left w:w="108" w:type="dxa"/>
              <w:bottom w:w="0" w:type="dxa"/>
              <w:right w:w="108" w:type="dxa"/>
            </w:tcMar>
            <w:hideMark/>
          </w:tcPr>
          <w:p w:rsidR="007948D7" w:rsidRPr="00AE5687" w:rsidRDefault="007948D7" w:rsidP="007948D7">
            <w:pPr>
              <w:spacing w:after="0" w:line="240" w:lineRule="auto"/>
              <w:jc w:val="center"/>
              <w:rPr>
                <w:rFonts w:ascii="Arial" w:hAnsi="Arial" w:cs="Arial"/>
                <w:b/>
                <w:bCs/>
              </w:rPr>
            </w:pPr>
          </w:p>
          <w:p w:rsidR="004A0767" w:rsidRPr="00AE5687" w:rsidRDefault="004A0767" w:rsidP="007948D7">
            <w:pPr>
              <w:spacing w:after="0" w:line="240" w:lineRule="auto"/>
              <w:jc w:val="center"/>
              <w:rPr>
                <w:rFonts w:ascii="Arial" w:hAnsi="Arial" w:cs="Arial"/>
                <w:b/>
                <w:bCs/>
              </w:rPr>
            </w:pPr>
            <w:r w:rsidRPr="00AE5687">
              <w:rPr>
                <w:rFonts w:ascii="Arial" w:hAnsi="Arial" w:cs="Arial"/>
                <w:b/>
                <w:bCs/>
              </w:rPr>
              <w:t>NOTES</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A</w:t>
            </w:r>
          </w:p>
        </w:tc>
        <w:tc>
          <w:tcPr>
            <w:tcW w:w="2070" w:type="dxa"/>
            <w:tcMar>
              <w:top w:w="0" w:type="dxa"/>
              <w:left w:w="108" w:type="dxa"/>
              <w:bottom w:w="0" w:type="dxa"/>
              <w:right w:w="108" w:type="dxa"/>
            </w:tcMar>
            <w:hideMark/>
          </w:tcPr>
          <w:p w:rsidR="004A0767" w:rsidRPr="004A0767" w:rsidRDefault="00EC2593" w:rsidP="007948D7">
            <w:pPr>
              <w:spacing w:before="120" w:after="100" w:afterAutospacing="1" w:line="240" w:lineRule="auto"/>
              <w:jc w:val="center"/>
              <w:rPr>
                <w:rFonts w:ascii="Arial" w:hAnsi="Arial" w:cs="Arial"/>
              </w:rPr>
            </w:pPr>
            <w:r>
              <w:rPr>
                <w:rFonts w:ascii="Arial" w:hAnsi="Arial" w:cs="Arial"/>
              </w:rPr>
              <w:t>49</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7553AA" w:rsidRDefault="004A0767" w:rsidP="007948D7">
            <w:pPr>
              <w:spacing w:before="120" w:after="100" w:afterAutospacing="1" w:line="240" w:lineRule="auto"/>
              <w:jc w:val="center"/>
              <w:rPr>
                <w:rFonts w:ascii="Arial" w:hAnsi="Arial" w:cs="Arial"/>
              </w:rPr>
            </w:pPr>
            <w:r w:rsidRPr="007553AA">
              <w:rPr>
                <w:rFonts w:ascii="Arial" w:hAnsi="Arial" w:cs="Arial"/>
              </w:rPr>
              <w:t>B</w:t>
            </w:r>
          </w:p>
        </w:tc>
        <w:tc>
          <w:tcPr>
            <w:tcW w:w="2070" w:type="dxa"/>
            <w:tcMar>
              <w:top w:w="0" w:type="dxa"/>
              <w:left w:w="108" w:type="dxa"/>
              <w:bottom w:w="0" w:type="dxa"/>
              <w:right w:w="108" w:type="dxa"/>
            </w:tcMar>
            <w:hideMark/>
          </w:tcPr>
          <w:p w:rsidR="004A0767" w:rsidRPr="007553AA" w:rsidRDefault="00EC2593" w:rsidP="007948D7">
            <w:pPr>
              <w:spacing w:before="120" w:after="100" w:afterAutospacing="1" w:line="240" w:lineRule="auto"/>
              <w:jc w:val="center"/>
              <w:rPr>
                <w:rFonts w:ascii="Arial" w:hAnsi="Arial" w:cs="Arial"/>
              </w:rPr>
            </w:pPr>
            <w:r>
              <w:rPr>
                <w:rFonts w:ascii="Arial" w:hAnsi="Arial" w:cs="Arial"/>
              </w:rPr>
              <w:t>46</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C</w:t>
            </w:r>
          </w:p>
        </w:tc>
        <w:tc>
          <w:tcPr>
            <w:tcW w:w="2070" w:type="dxa"/>
            <w:tcMar>
              <w:top w:w="0" w:type="dxa"/>
              <w:left w:w="108" w:type="dxa"/>
              <w:bottom w:w="0" w:type="dxa"/>
              <w:right w:w="108" w:type="dxa"/>
            </w:tcMar>
            <w:hideMark/>
          </w:tcPr>
          <w:p w:rsidR="004A0767" w:rsidRPr="004A0767" w:rsidRDefault="002E7845" w:rsidP="007948D7">
            <w:pPr>
              <w:spacing w:before="120" w:after="100" w:afterAutospacing="1" w:line="240" w:lineRule="auto"/>
              <w:jc w:val="center"/>
              <w:rPr>
                <w:rFonts w:ascii="Arial" w:hAnsi="Arial" w:cs="Arial"/>
              </w:rPr>
            </w:pPr>
            <w:r>
              <w:rPr>
                <w:rFonts w:ascii="Arial" w:hAnsi="Arial" w:cs="Arial"/>
              </w:rPr>
              <w:t>53</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7553AA">
        <w:tc>
          <w:tcPr>
            <w:tcW w:w="1278" w:type="dxa"/>
            <w:tcMar>
              <w:top w:w="0" w:type="dxa"/>
              <w:left w:w="108" w:type="dxa"/>
              <w:bottom w:w="0" w:type="dxa"/>
              <w:right w:w="108" w:type="dxa"/>
            </w:tcMar>
            <w:hideMark/>
          </w:tcPr>
          <w:p w:rsidR="004A0767" w:rsidRPr="006B53C5" w:rsidRDefault="004A0767" w:rsidP="007948D7">
            <w:pPr>
              <w:spacing w:before="120" w:after="100" w:afterAutospacing="1" w:line="240" w:lineRule="auto"/>
              <w:jc w:val="center"/>
              <w:rPr>
                <w:rFonts w:ascii="Arial" w:hAnsi="Arial" w:cs="Arial"/>
              </w:rPr>
            </w:pPr>
            <w:r w:rsidRPr="006B53C5">
              <w:rPr>
                <w:rFonts w:ascii="Arial" w:hAnsi="Arial" w:cs="Arial"/>
              </w:rPr>
              <w:t>D</w:t>
            </w:r>
          </w:p>
        </w:tc>
        <w:tc>
          <w:tcPr>
            <w:tcW w:w="2070" w:type="dxa"/>
            <w:tcMar>
              <w:top w:w="0" w:type="dxa"/>
              <w:left w:w="108" w:type="dxa"/>
              <w:bottom w:w="0" w:type="dxa"/>
              <w:right w:w="108" w:type="dxa"/>
            </w:tcMar>
            <w:hideMark/>
          </w:tcPr>
          <w:p w:rsidR="004A0767" w:rsidRPr="006B53C5" w:rsidRDefault="00EC2593" w:rsidP="007948D7">
            <w:pPr>
              <w:spacing w:before="120" w:after="100" w:afterAutospacing="1" w:line="240" w:lineRule="auto"/>
              <w:jc w:val="center"/>
              <w:rPr>
                <w:rFonts w:ascii="Arial" w:hAnsi="Arial" w:cs="Arial"/>
              </w:rPr>
            </w:pPr>
            <w:r>
              <w:rPr>
                <w:rFonts w:ascii="Arial" w:hAnsi="Arial" w:cs="Arial"/>
              </w:rPr>
              <w:t>47</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bl>
    <w:p w:rsidR="00CD34D0" w:rsidRDefault="00CD34D0" w:rsidP="00575E07">
      <w:pPr>
        <w:spacing w:after="0" w:line="240" w:lineRule="auto"/>
        <w:rPr>
          <w:color w:val="1F497D"/>
        </w:rPr>
      </w:pPr>
    </w:p>
    <w:p w:rsidR="00045951" w:rsidRPr="00045951" w:rsidRDefault="00045951" w:rsidP="00045951">
      <w:pPr>
        <w:spacing w:after="0" w:line="240" w:lineRule="auto"/>
        <w:rPr>
          <w:rFonts w:ascii="Arial" w:hAnsi="Arial" w:cs="Arial"/>
          <w:b/>
          <w:u w:val="single"/>
        </w:rPr>
      </w:pPr>
      <w:r w:rsidRPr="00045951">
        <w:rPr>
          <w:rFonts w:ascii="Arial" w:hAnsi="Arial" w:cs="Arial"/>
          <w:b/>
          <w:u w:val="single"/>
        </w:rPr>
        <w:t>WF 1802 PCW</w:t>
      </w:r>
    </w:p>
    <w:p w:rsidR="00045951" w:rsidRPr="00045951" w:rsidRDefault="00045951" w:rsidP="00045951">
      <w:pPr>
        <w:rPr>
          <w:rFonts w:ascii="Arial" w:hAnsi="Arial" w:cs="Arial"/>
        </w:rPr>
      </w:pPr>
      <w:r w:rsidRPr="00045951">
        <w:rPr>
          <w:rFonts w:ascii="Arial" w:hAnsi="Arial" w:cs="Arial"/>
        </w:rPr>
        <w:t xml:space="preserve">The Wake Forest NCORP Research Base has a new study (WF-1802: </w:t>
      </w:r>
      <w:r w:rsidRPr="00045951">
        <w:rPr>
          <w:rFonts w:ascii="Arial" w:hAnsi="Arial" w:cs="Arial"/>
          <w:i/>
        </w:rPr>
        <w:t xml:space="preserve">Influence of Primary Treatment for </w:t>
      </w:r>
      <w:r w:rsidRPr="00045951">
        <w:rPr>
          <w:rFonts w:ascii="Arial" w:hAnsi="Arial" w:cs="Arial"/>
          <w:i/>
          <w:u w:val="single"/>
        </w:rPr>
        <w:t>P</w:t>
      </w:r>
      <w:r w:rsidRPr="00045951">
        <w:rPr>
          <w:rFonts w:ascii="Arial" w:hAnsi="Arial" w:cs="Arial"/>
          <w:i/>
        </w:rPr>
        <w:t xml:space="preserve">rostate </w:t>
      </w:r>
      <w:r w:rsidRPr="00045951">
        <w:rPr>
          <w:rFonts w:ascii="Arial" w:hAnsi="Arial" w:cs="Arial"/>
          <w:i/>
          <w:u w:val="single"/>
        </w:rPr>
        <w:t>C</w:t>
      </w:r>
      <w:r w:rsidRPr="00045951">
        <w:rPr>
          <w:rFonts w:ascii="Arial" w:hAnsi="Arial" w:cs="Arial"/>
          <w:i/>
        </w:rPr>
        <w:t xml:space="preserve">ancer on </w:t>
      </w:r>
      <w:r w:rsidRPr="00045951">
        <w:rPr>
          <w:rFonts w:ascii="Arial" w:hAnsi="Arial" w:cs="Arial"/>
          <w:i/>
          <w:u w:val="single"/>
        </w:rPr>
        <w:t>W</w:t>
      </w:r>
      <w:r w:rsidRPr="00045951">
        <w:rPr>
          <w:rFonts w:ascii="Arial" w:hAnsi="Arial" w:cs="Arial"/>
          <w:i/>
        </w:rPr>
        <w:t xml:space="preserve">ork Experience </w:t>
      </w:r>
      <w:r w:rsidRPr="00045951">
        <w:rPr>
          <w:rFonts w:ascii="Arial" w:hAnsi="Arial" w:cs="Arial"/>
        </w:rPr>
        <w:t>(PCW)) that we expect to activate later this Spring.    An introductory webinar will be announced soon.</w:t>
      </w:r>
    </w:p>
    <w:p w:rsidR="00045951" w:rsidRPr="00045951" w:rsidRDefault="00045951" w:rsidP="00045951">
      <w:pPr>
        <w:rPr>
          <w:rFonts w:ascii="Arial" w:hAnsi="Arial" w:cs="Arial"/>
        </w:rPr>
      </w:pPr>
      <w:r w:rsidRPr="00045951">
        <w:rPr>
          <w:rFonts w:ascii="Arial" w:hAnsi="Arial" w:cs="Arial"/>
        </w:rPr>
        <w:t xml:space="preserve">Briefly, we plan to examine how prostate cancer treatment affects African American men’s ability to work.  We will enroll 220 people in the study, stratified by race (African American, non-Hispanic; white, non-Hispanic) and income (low income, moderate to high income).  </w:t>
      </w:r>
      <w:r w:rsidRPr="00045951">
        <w:rPr>
          <w:rFonts w:ascii="Arial" w:eastAsia="Times New Roman" w:hAnsi="Arial" w:cs="Arial"/>
        </w:rPr>
        <w:t xml:space="preserve">Participants will be interviewed a total </w:t>
      </w:r>
      <w:r w:rsidRPr="00045951">
        <w:rPr>
          <w:rFonts w:ascii="Arial" w:hAnsi="Arial" w:cs="Arial"/>
        </w:rPr>
        <w:t xml:space="preserve">of three times – before treatment begins, 3 months after treatment, and 6 months after treatment. Each interview will last approximately 40-60 minutes and will include questions about participants’ job and </w:t>
      </w:r>
      <w:r w:rsidRPr="00045951">
        <w:rPr>
          <w:rFonts w:ascii="Arial" w:hAnsi="Arial" w:cs="Arial"/>
        </w:rPr>
        <w:lastRenderedPageBreak/>
        <w:t>workplace, medical leave from work, symptoms associated with prostate issues, and physical and mental well-being.</w:t>
      </w:r>
    </w:p>
    <w:p w:rsidR="00045951" w:rsidRDefault="00045951" w:rsidP="00045951">
      <w:pPr>
        <w:rPr>
          <w:rFonts w:ascii="Times New Roman" w:hAnsi="Times New Roman"/>
        </w:rPr>
      </w:pPr>
      <w:r>
        <w:rPr>
          <w:rFonts w:ascii="Times New Roman" w:eastAsia="Times New Roman" w:hAnsi="Times New Roman"/>
          <w:iCs/>
          <w:noProof/>
          <w:sz w:val="24"/>
          <w:szCs w:val="24"/>
        </w:rPr>
        <w:drawing>
          <wp:inline distT="0" distB="0" distL="0" distR="0" wp14:anchorId="0C9B9977" wp14:editId="485B15FD">
            <wp:extent cx="1737360" cy="972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7360" cy="972312"/>
                    </a:xfrm>
                    <a:prstGeom prst="rect">
                      <a:avLst/>
                    </a:prstGeom>
                  </pic:spPr>
                </pic:pic>
              </a:graphicData>
            </a:graphic>
          </wp:inline>
        </w:drawing>
      </w:r>
    </w:p>
    <w:p w:rsidR="00390E92" w:rsidRDefault="00390E92" w:rsidP="00045951">
      <w:pPr>
        <w:rPr>
          <w:rFonts w:ascii="Times New Roman" w:hAnsi="Times New Roman"/>
        </w:rPr>
      </w:pPr>
    </w:p>
    <w:p w:rsidR="00045951" w:rsidRDefault="00045951" w:rsidP="00575E07">
      <w:pPr>
        <w:spacing w:after="0" w:line="240" w:lineRule="auto"/>
        <w:rPr>
          <w:color w:val="1F497D"/>
        </w:rPr>
      </w:pPr>
    </w:p>
    <w:p w:rsidR="00CD34D0" w:rsidRDefault="00CD34D0" w:rsidP="00575E07">
      <w:pPr>
        <w:spacing w:after="0" w:line="240" w:lineRule="auto"/>
        <w:rPr>
          <w:color w:val="1F497D"/>
        </w:rPr>
      </w:pPr>
    </w:p>
    <w:p w:rsidR="00F24373" w:rsidRPr="002D524C" w:rsidRDefault="00F54139" w:rsidP="002D524C">
      <w:pPr>
        <w:spacing w:after="0" w:line="240" w:lineRule="auto"/>
        <w:rPr>
          <w:rFonts w:ascii="Arial" w:hAnsi="Arial" w:cs="Arial"/>
          <w:b/>
          <w:u w:val="single"/>
        </w:rPr>
      </w:pPr>
      <w:r w:rsidRPr="002D524C">
        <w:rPr>
          <w:rFonts w:ascii="Arial" w:hAnsi="Arial" w:cs="Arial"/>
          <w:b/>
          <w:u w:val="single"/>
        </w:rPr>
        <w:t xml:space="preserve">Current </w:t>
      </w:r>
      <w:r w:rsidR="00F24373" w:rsidRPr="002D524C">
        <w:rPr>
          <w:rFonts w:ascii="Arial" w:hAnsi="Arial" w:cs="Arial"/>
          <w:b/>
          <w:u w:val="single"/>
        </w:rPr>
        <w:t>Accruals</w:t>
      </w:r>
      <w:r w:rsidR="00ED161C">
        <w:rPr>
          <w:rFonts w:ascii="Arial" w:hAnsi="Arial" w:cs="Arial"/>
          <w:b/>
          <w:u w:val="single"/>
        </w:rPr>
        <w:t xml:space="preserve"> as of 02</w:t>
      </w:r>
      <w:r w:rsidR="000529E9">
        <w:rPr>
          <w:rFonts w:ascii="Arial" w:hAnsi="Arial" w:cs="Arial"/>
          <w:b/>
          <w:u w:val="single"/>
        </w:rPr>
        <w:t>/</w:t>
      </w:r>
      <w:r w:rsidR="002E7845">
        <w:rPr>
          <w:rFonts w:ascii="Arial" w:hAnsi="Arial" w:cs="Arial"/>
          <w:b/>
          <w:u w:val="single"/>
        </w:rPr>
        <w:t>18</w:t>
      </w:r>
      <w:r w:rsidR="00C808E7">
        <w:rPr>
          <w:rFonts w:ascii="Arial" w:hAnsi="Arial" w:cs="Arial"/>
          <w:b/>
          <w:u w:val="single"/>
        </w:rPr>
        <w:t>/19</w:t>
      </w:r>
    </w:p>
    <w:p w:rsidR="00262501" w:rsidRPr="00262501" w:rsidRDefault="00262501" w:rsidP="00262501">
      <w:pPr>
        <w:pStyle w:val="ListParagraph"/>
        <w:spacing w:after="0" w:line="240" w:lineRule="auto"/>
        <w:ind w:left="1080"/>
        <w:rPr>
          <w:rFonts w:ascii="Arial" w:hAnsi="Arial" w:cs="Arial"/>
          <w:b/>
          <w:u w:val="single"/>
        </w:rPr>
      </w:pPr>
    </w:p>
    <w:tbl>
      <w:tblPr>
        <w:tblStyle w:val="TableGrid"/>
        <w:tblW w:w="0" w:type="auto"/>
        <w:tblLook w:val="04A0" w:firstRow="1" w:lastRow="0" w:firstColumn="1" w:lastColumn="0" w:noHBand="0" w:noVBand="1"/>
      </w:tblPr>
      <w:tblGrid>
        <w:gridCol w:w="2337"/>
        <w:gridCol w:w="1798"/>
        <w:gridCol w:w="1710"/>
        <w:gridCol w:w="1530"/>
      </w:tblGrid>
      <w:tr w:rsidR="00882750" w:rsidRPr="00F24373" w:rsidTr="00264B52">
        <w:tc>
          <w:tcPr>
            <w:tcW w:w="2337" w:type="dxa"/>
          </w:tcPr>
          <w:p w:rsidR="00882750" w:rsidRPr="00882750" w:rsidRDefault="00882750" w:rsidP="00E47EA5">
            <w:pPr>
              <w:rPr>
                <w:rFonts w:ascii="Arial" w:hAnsi="Arial" w:cs="Arial"/>
                <w:b/>
              </w:rPr>
            </w:pPr>
            <w:r w:rsidRPr="00882750">
              <w:rPr>
                <w:rFonts w:ascii="Arial" w:hAnsi="Arial" w:cs="Arial"/>
                <w:b/>
              </w:rPr>
              <w:t>Study Title</w:t>
            </w:r>
          </w:p>
        </w:tc>
        <w:tc>
          <w:tcPr>
            <w:tcW w:w="1798" w:type="dxa"/>
          </w:tcPr>
          <w:p w:rsidR="00882750" w:rsidRPr="00882750" w:rsidRDefault="00882750" w:rsidP="00E47EA5">
            <w:pPr>
              <w:rPr>
                <w:rFonts w:ascii="Arial" w:hAnsi="Arial" w:cs="Arial"/>
                <w:b/>
              </w:rPr>
            </w:pPr>
            <w:r w:rsidRPr="00882750">
              <w:rPr>
                <w:rFonts w:ascii="Arial" w:hAnsi="Arial" w:cs="Arial"/>
                <w:b/>
              </w:rPr>
              <w:t>Study Number</w:t>
            </w:r>
          </w:p>
        </w:tc>
        <w:tc>
          <w:tcPr>
            <w:tcW w:w="1710" w:type="dxa"/>
          </w:tcPr>
          <w:p w:rsidR="00882750" w:rsidRPr="00882750" w:rsidRDefault="00882750" w:rsidP="00882750">
            <w:pPr>
              <w:rPr>
                <w:rFonts w:ascii="Arial" w:hAnsi="Arial" w:cs="Arial"/>
                <w:b/>
              </w:rPr>
            </w:pPr>
            <w:r w:rsidRPr="00882750">
              <w:rPr>
                <w:rFonts w:ascii="Arial" w:hAnsi="Arial" w:cs="Arial"/>
                <w:b/>
              </w:rPr>
              <w:t>Accrual</w:t>
            </w:r>
          </w:p>
        </w:tc>
        <w:tc>
          <w:tcPr>
            <w:tcW w:w="1530" w:type="dxa"/>
          </w:tcPr>
          <w:p w:rsidR="00882750" w:rsidRPr="00882750" w:rsidRDefault="00882750" w:rsidP="00E47EA5">
            <w:pPr>
              <w:rPr>
                <w:rFonts w:ascii="Arial" w:hAnsi="Arial" w:cs="Arial"/>
                <w:b/>
              </w:rPr>
            </w:pPr>
            <w:r w:rsidRPr="00882750">
              <w:rPr>
                <w:rFonts w:ascii="Arial" w:hAnsi="Arial" w:cs="Arial"/>
                <w:b/>
              </w:rPr>
              <w:t>Target</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RELAX</w:t>
            </w:r>
          </w:p>
        </w:tc>
        <w:tc>
          <w:tcPr>
            <w:tcW w:w="1798" w:type="dxa"/>
          </w:tcPr>
          <w:p w:rsidR="00F24373" w:rsidRPr="00F24373" w:rsidRDefault="00F24373" w:rsidP="00E47EA5">
            <w:pPr>
              <w:rPr>
                <w:rFonts w:ascii="Arial" w:hAnsi="Arial" w:cs="Arial"/>
              </w:rPr>
            </w:pPr>
            <w:r w:rsidRPr="00F24373">
              <w:rPr>
                <w:rFonts w:ascii="Arial" w:hAnsi="Arial" w:cs="Arial"/>
              </w:rPr>
              <w:t>01213</w:t>
            </w:r>
          </w:p>
        </w:tc>
        <w:tc>
          <w:tcPr>
            <w:tcW w:w="1710" w:type="dxa"/>
          </w:tcPr>
          <w:p w:rsidR="00F24373" w:rsidRPr="00F24373" w:rsidRDefault="002E7845" w:rsidP="00E47EA5">
            <w:pPr>
              <w:rPr>
                <w:rFonts w:ascii="Arial" w:hAnsi="Arial" w:cs="Arial"/>
              </w:rPr>
            </w:pPr>
            <w:r>
              <w:rPr>
                <w:rFonts w:ascii="Arial" w:hAnsi="Arial" w:cs="Arial"/>
              </w:rPr>
              <w:t>36</w:t>
            </w:r>
          </w:p>
        </w:tc>
        <w:tc>
          <w:tcPr>
            <w:tcW w:w="1530" w:type="dxa"/>
          </w:tcPr>
          <w:p w:rsidR="00F24373" w:rsidRPr="00F24373" w:rsidRDefault="00F24373" w:rsidP="00E47EA5">
            <w:pPr>
              <w:rPr>
                <w:rFonts w:ascii="Arial" w:hAnsi="Arial" w:cs="Arial"/>
              </w:rPr>
            </w:pPr>
            <w:r w:rsidRPr="00F24373">
              <w:rPr>
                <w:rFonts w:ascii="Arial" w:hAnsi="Arial" w:cs="Arial"/>
              </w:rPr>
              <w:t>75</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WAYS</w:t>
            </w:r>
          </w:p>
        </w:tc>
        <w:tc>
          <w:tcPr>
            <w:tcW w:w="1798" w:type="dxa"/>
          </w:tcPr>
          <w:p w:rsidR="00F24373" w:rsidRPr="00F24373" w:rsidRDefault="00F24373" w:rsidP="00E47EA5">
            <w:pPr>
              <w:rPr>
                <w:rFonts w:ascii="Arial" w:hAnsi="Arial" w:cs="Arial"/>
              </w:rPr>
            </w:pPr>
            <w:r w:rsidRPr="00F24373">
              <w:rPr>
                <w:rFonts w:ascii="Arial" w:hAnsi="Arial" w:cs="Arial"/>
              </w:rPr>
              <w:t>10217</w:t>
            </w:r>
          </w:p>
        </w:tc>
        <w:tc>
          <w:tcPr>
            <w:tcW w:w="1710" w:type="dxa"/>
          </w:tcPr>
          <w:p w:rsidR="00F24373" w:rsidRPr="00F24373" w:rsidRDefault="002E7845" w:rsidP="00E47EA5">
            <w:pPr>
              <w:rPr>
                <w:rFonts w:ascii="Arial" w:hAnsi="Arial" w:cs="Arial"/>
              </w:rPr>
            </w:pPr>
            <w:r>
              <w:rPr>
                <w:rFonts w:ascii="Arial" w:hAnsi="Arial" w:cs="Arial"/>
              </w:rPr>
              <w:t>195</w:t>
            </w:r>
          </w:p>
        </w:tc>
        <w:tc>
          <w:tcPr>
            <w:tcW w:w="1530" w:type="dxa"/>
          </w:tcPr>
          <w:p w:rsidR="00F24373" w:rsidRPr="00F24373" w:rsidRDefault="00F24373" w:rsidP="00E47EA5">
            <w:pPr>
              <w:rPr>
                <w:rFonts w:ascii="Arial" w:hAnsi="Arial" w:cs="Arial"/>
              </w:rPr>
            </w:pPr>
            <w:r w:rsidRPr="00F24373">
              <w:rPr>
                <w:rFonts w:ascii="Arial" w:hAnsi="Arial" w:cs="Arial"/>
              </w:rPr>
              <w:t>200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ACUPUNCTURE</w:t>
            </w:r>
          </w:p>
        </w:tc>
        <w:tc>
          <w:tcPr>
            <w:tcW w:w="1798" w:type="dxa"/>
          </w:tcPr>
          <w:p w:rsidR="00F24373" w:rsidRPr="00F24373" w:rsidRDefault="00F24373" w:rsidP="00E47EA5">
            <w:pPr>
              <w:rPr>
                <w:rFonts w:ascii="Arial" w:hAnsi="Arial" w:cs="Arial"/>
              </w:rPr>
            </w:pPr>
            <w:r w:rsidRPr="00F24373">
              <w:rPr>
                <w:rFonts w:ascii="Arial" w:hAnsi="Arial" w:cs="Arial"/>
              </w:rPr>
              <w:t>97115</w:t>
            </w:r>
          </w:p>
        </w:tc>
        <w:tc>
          <w:tcPr>
            <w:tcW w:w="1710" w:type="dxa"/>
          </w:tcPr>
          <w:p w:rsidR="00F24373" w:rsidRPr="00F24373" w:rsidRDefault="002E7845" w:rsidP="00E47EA5">
            <w:pPr>
              <w:rPr>
                <w:rFonts w:ascii="Arial" w:hAnsi="Arial" w:cs="Arial"/>
              </w:rPr>
            </w:pPr>
            <w:r>
              <w:rPr>
                <w:rFonts w:ascii="Arial" w:hAnsi="Arial" w:cs="Arial"/>
              </w:rPr>
              <w:t>180</w:t>
            </w:r>
          </w:p>
        </w:tc>
        <w:tc>
          <w:tcPr>
            <w:tcW w:w="1530" w:type="dxa"/>
          </w:tcPr>
          <w:p w:rsidR="00F24373" w:rsidRPr="00F24373" w:rsidRDefault="00F24373" w:rsidP="00E47EA5">
            <w:pPr>
              <w:rPr>
                <w:rFonts w:ascii="Arial" w:hAnsi="Arial" w:cs="Arial"/>
              </w:rPr>
            </w:pPr>
            <w:r w:rsidRPr="00F24373">
              <w:rPr>
                <w:rFonts w:ascii="Arial" w:hAnsi="Arial" w:cs="Arial"/>
              </w:rPr>
              <w:t>240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REMEMBER</w:t>
            </w:r>
          </w:p>
        </w:tc>
        <w:tc>
          <w:tcPr>
            <w:tcW w:w="1798" w:type="dxa"/>
          </w:tcPr>
          <w:p w:rsidR="00F24373" w:rsidRPr="00F24373" w:rsidRDefault="00F24373" w:rsidP="00E47EA5">
            <w:pPr>
              <w:rPr>
                <w:rFonts w:ascii="Arial" w:hAnsi="Arial" w:cs="Arial"/>
              </w:rPr>
            </w:pPr>
            <w:r w:rsidRPr="00F24373">
              <w:rPr>
                <w:rFonts w:ascii="Arial" w:hAnsi="Arial" w:cs="Arial"/>
              </w:rPr>
              <w:t>97116</w:t>
            </w:r>
          </w:p>
        </w:tc>
        <w:tc>
          <w:tcPr>
            <w:tcW w:w="1710" w:type="dxa"/>
          </w:tcPr>
          <w:p w:rsidR="00F24373" w:rsidRPr="00F24373" w:rsidRDefault="002E7845" w:rsidP="00E47EA5">
            <w:pPr>
              <w:rPr>
                <w:rFonts w:ascii="Arial" w:hAnsi="Arial" w:cs="Arial"/>
              </w:rPr>
            </w:pPr>
            <w:r>
              <w:rPr>
                <w:rFonts w:ascii="Arial" w:hAnsi="Arial" w:cs="Arial"/>
              </w:rPr>
              <w:t>144</w:t>
            </w:r>
          </w:p>
        </w:tc>
        <w:tc>
          <w:tcPr>
            <w:tcW w:w="1530" w:type="dxa"/>
          </w:tcPr>
          <w:p w:rsidR="00F24373" w:rsidRPr="00F24373" w:rsidRDefault="00F24373" w:rsidP="00E47EA5">
            <w:pPr>
              <w:rPr>
                <w:rFonts w:ascii="Arial" w:hAnsi="Arial" w:cs="Arial"/>
              </w:rPr>
            </w:pPr>
            <w:r w:rsidRPr="00F24373">
              <w:rPr>
                <w:rFonts w:ascii="Arial" w:hAnsi="Arial" w:cs="Arial"/>
              </w:rPr>
              <w:t>276</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UPBEAT</w:t>
            </w:r>
          </w:p>
        </w:tc>
        <w:tc>
          <w:tcPr>
            <w:tcW w:w="1798" w:type="dxa"/>
          </w:tcPr>
          <w:p w:rsidR="00F24373" w:rsidRPr="00F24373" w:rsidRDefault="00F24373" w:rsidP="00E47EA5">
            <w:pPr>
              <w:rPr>
                <w:rFonts w:ascii="Arial" w:hAnsi="Arial" w:cs="Arial"/>
              </w:rPr>
            </w:pPr>
            <w:r w:rsidRPr="00F24373">
              <w:rPr>
                <w:rFonts w:ascii="Arial" w:hAnsi="Arial" w:cs="Arial"/>
              </w:rPr>
              <w:t>97415</w:t>
            </w:r>
          </w:p>
        </w:tc>
        <w:tc>
          <w:tcPr>
            <w:tcW w:w="1710" w:type="dxa"/>
          </w:tcPr>
          <w:p w:rsidR="00F24373" w:rsidRPr="00F24373" w:rsidRDefault="002E7845" w:rsidP="00E47EA5">
            <w:pPr>
              <w:rPr>
                <w:rFonts w:ascii="Arial" w:hAnsi="Arial" w:cs="Arial"/>
              </w:rPr>
            </w:pPr>
            <w:r>
              <w:rPr>
                <w:rFonts w:ascii="Arial" w:hAnsi="Arial" w:cs="Arial"/>
              </w:rPr>
              <w:t>147</w:t>
            </w:r>
          </w:p>
        </w:tc>
        <w:tc>
          <w:tcPr>
            <w:tcW w:w="1530" w:type="dxa"/>
          </w:tcPr>
          <w:p w:rsidR="00F24373" w:rsidRPr="00F24373" w:rsidRDefault="00F24373" w:rsidP="00E47EA5">
            <w:pPr>
              <w:rPr>
                <w:rFonts w:ascii="Arial" w:hAnsi="Arial" w:cs="Arial"/>
              </w:rPr>
            </w:pPr>
            <w:r w:rsidRPr="00F24373">
              <w:rPr>
                <w:rFonts w:ascii="Arial" w:hAnsi="Arial" w:cs="Arial"/>
              </w:rPr>
              <w:t>1000</w:t>
            </w:r>
          </w:p>
        </w:tc>
      </w:tr>
      <w:tr w:rsidR="00F24373" w:rsidRPr="00F24373" w:rsidTr="00264B52">
        <w:trPr>
          <w:trHeight w:val="125"/>
        </w:trPr>
        <w:tc>
          <w:tcPr>
            <w:tcW w:w="2337" w:type="dxa"/>
          </w:tcPr>
          <w:p w:rsidR="00F24373" w:rsidRPr="00F24373" w:rsidRDefault="00221A38" w:rsidP="00E47EA5">
            <w:pPr>
              <w:rPr>
                <w:rFonts w:ascii="Arial" w:hAnsi="Arial" w:cs="Arial"/>
              </w:rPr>
            </w:pPr>
            <w:r w:rsidRPr="00F24373">
              <w:rPr>
                <w:rFonts w:ascii="Arial" w:hAnsi="Arial" w:cs="Arial"/>
              </w:rPr>
              <w:t>OaSiS</w:t>
            </w:r>
          </w:p>
        </w:tc>
        <w:tc>
          <w:tcPr>
            <w:tcW w:w="1798" w:type="dxa"/>
          </w:tcPr>
          <w:p w:rsidR="00F24373" w:rsidRPr="00F24373" w:rsidRDefault="00F24373" w:rsidP="00E47EA5">
            <w:pPr>
              <w:rPr>
                <w:rFonts w:ascii="Arial" w:hAnsi="Arial" w:cs="Arial"/>
              </w:rPr>
            </w:pPr>
            <w:r w:rsidRPr="00F24373">
              <w:rPr>
                <w:rFonts w:ascii="Arial" w:hAnsi="Arial" w:cs="Arial"/>
              </w:rPr>
              <w:t>20817</w:t>
            </w:r>
          </w:p>
        </w:tc>
        <w:tc>
          <w:tcPr>
            <w:tcW w:w="1710" w:type="dxa"/>
          </w:tcPr>
          <w:p w:rsidR="00F24373" w:rsidRPr="00F24373" w:rsidRDefault="002E7845" w:rsidP="00E47EA5">
            <w:pPr>
              <w:rPr>
                <w:rFonts w:ascii="Arial" w:hAnsi="Arial" w:cs="Arial"/>
              </w:rPr>
            </w:pPr>
            <w:r>
              <w:rPr>
                <w:rFonts w:ascii="Arial" w:hAnsi="Arial" w:cs="Arial"/>
              </w:rPr>
              <w:t>497</w:t>
            </w:r>
          </w:p>
        </w:tc>
        <w:tc>
          <w:tcPr>
            <w:tcW w:w="1530" w:type="dxa"/>
          </w:tcPr>
          <w:p w:rsidR="00F24373" w:rsidRPr="00F24373" w:rsidRDefault="00F24373" w:rsidP="00E47EA5">
            <w:pPr>
              <w:rPr>
                <w:rFonts w:ascii="Arial" w:hAnsi="Arial" w:cs="Arial"/>
              </w:rPr>
            </w:pPr>
            <w:r w:rsidRPr="00F24373">
              <w:rPr>
                <w:rFonts w:ascii="Arial" w:hAnsi="Arial" w:cs="Arial"/>
              </w:rPr>
              <w:t>1114</w:t>
            </w:r>
          </w:p>
        </w:tc>
      </w:tr>
      <w:tr w:rsidR="00F24373" w:rsidRPr="00F24373" w:rsidTr="00264B52">
        <w:trPr>
          <w:trHeight w:val="125"/>
        </w:trPr>
        <w:tc>
          <w:tcPr>
            <w:tcW w:w="2337" w:type="dxa"/>
          </w:tcPr>
          <w:p w:rsidR="00F24373" w:rsidRPr="00F24373" w:rsidRDefault="00F24373" w:rsidP="00E47EA5">
            <w:pPr>
              <w:rPr>
                <w:rFonts w:ascii="Arial" w:hAnsi="Arial" w:cs="Arial"/>
              </w:rPr>
            </w:pPr>
            <w:r w:rsidRPr="00F24373">
              <w:rPr>
                <w:rFonts w:ascii="Arial" w:hAnsi="Arial" w:cs="Arial"/>
              </w:rPr>
              <w:t>Telehealth</w:t>
            </w:r>
          </w:p>
        </w:tc>
        <w:tc>
          <w:tcPr>
            <w:tcW w:w="1798" w:type="dxa"/>
          </w:tcPr>
          <w:p w:rsidR="00F24373" w:rsidRPr="00F24373" w:rsidRDefault="00F24373" w:rsidP="00E47EA5">
            <w:pPr>
              <w:rPr>
                <w:rFonts w:ascii="Arial" w:hAnsi="Arial" w:cs="Arial"/>
              </w:rPr>
            </w:pPr>
            <w:r w:rsidRPr="00F24373">
              <w:rPr>
                <w:rFonts w:ascii="Arial" w:hAnsi="Arial" w:cs="Arial"/>
              </w:rPr>
              <w:t>30917</w:t>
            </w:r>
          </w:p>
        </w:tc>
        <w:tc>
          <w:tcPr>
            <w:tcW w:w="1710" w:type="dxa"/>
          </w:tcPr>
          <w:p w:rsidR="00F24373" w:rsidRPr="00F24373" w:rsidRDefault="00B53D79" w:rsidP="00E47EA5">
            <w:pPr>
              <w:rPr>
                <w:rFonts w:ascii="Arial" w:hAnsi="Arial" w:cs="Arial"/>
              </w:rPr>
            </w:pPr>
            <w:r>
              <w:rPr>
                <w:rFonts w:ascii="Arial" w:hAnsi="Arial" w:cs="Arial"/>
              </w:rPr>
              <w:t>8</w:t>
            </w:r>
          </w:p>
        </w:tc>
        <w:tc>
          <w:tcPr>
            <w:tcW w:w="1530" w:type="dxa"/>
          </w:tcPr>
          <w:p w:rsidR="00F24373" w:rsidRPr="00F24373" w:rsidRDefault="00F24373" w:rsidP="00E47EA5">
            <w:pPr>
              <w:rPr>
                <w:rFonts w:ascii="Arial" w:hAnsi="Arial" w:cs="Arial"/>
              </w:rPr>
            </w:pPr>
            <w:r w:rsidRPr="00F24373">
              <w:rPr>
                <w:rFonts w:ascii="Arial" w:hAnsi="Arial" w:cs="Arial"/>
              </w:rPr>
              <w:t>90</w:t>
            </w:r>
          </w:p>
        </w:tc>
      </w:tr>
    </w:tbl>
    <w:p w:rsidR="004B411B" w:rsidRPr="004B411B" w:rsidRDefault="004B411B" w:rsidP="004B411B">
      <w:pPr>
        <w:spacing w:after="0" w:line="240" w:lineRule="auto"/>
        <w:rPr>
          <w:rFonts w:ascii="Arial" w:hAnsi="Arial" w:cs="Arial"/>
        </w:rPr>
      </w:pPr>
    </w:p>
    <w:sectPr w:rsidR="004B411B"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C6" w:rsidRDefault="00F474C6" w:rsidP="00F474C6">
      <w:pPr>
        <w:spacing w:after="0" w:line="240" w:lineRule="auto"/>
      </w:pPr>
      <w:r>
        <w:separator/>
      </w:r>
    </w:p>
  </w:endnote>
  <w:endnote w:type="continuationSeparator" w:id="0">
    <w:p w:rsidR="00F474C6" w:rsidRDefault="00F474C6"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C6" w:rsidRDefault="00F474C6" w:rsidP="00F474C6">
      <w:pPr>
        <w:spacing w:after="0" w:line="240" w:lineRule="auto"/>
      </w:pPr>
      <w:r>
        <w:separator/>
      </w:r>
    </w:p>
  </w:footnote>
  <w:footnote w:type="continuationSeparator" w:id="0">
    <w:p w:rsidR="00F474C6" w:rsidRDefault="00F474C6"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173BB"/>
    <w:multiLevelType w:val="hybridMultilevel"/>
    <w:tmpl w:val="8EE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7C0052"/>
    <w:multiLevelType w:val="hybridMultilevel"/>
    <w:tmpl w:val="E18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A38"/>
    <w:rsid w:val="00225BC5"/>
    <w:rsid w:val="00226329"/>
    <w:rsid w:val="002355E4"/>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43D7"/>
    <w:rsid w:val="004555DF"/>
    <w:rsid w:val="00464A2A"/>
    <w:rsid w:val="00464CF6"/>
    <w:rsid w:val="004670BB"/>
    <w:rsid w:val="00472722"/>
    <w:rsid w:val="00472E7D"/>
    <w:rsid w:val="00473E6B"/>
    <w:rsid w:val="0048061C"/>
    <w:rsid w:val="00482149"/>
    <w:rsid w:val="00482721"/>
    <w:rsid w:val="00492560"/>
    <w:rsid w:val="004A0767"/>
    <w:rsid w:val="004A5AC8"/>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836E8"/>
    <w:rsid w:val="006857AD"/>
    <w:rsid w:val="00686C17"/>
    <w:rsid w:val="00691097"/>
    <w:rsid w:val="00693706"/>
    <w:rsid w:val="006B0DE5"/>
    <w:rsid w:val="006B0E75"/>
    <w:rsid w:val="006B3E9A"/>
    <w:rsid w:val="006B4185"/>
    <w:rsid w:val="006B43EB"/>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79CB"/>
    <w:rsid w:val="00B3512D"/>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84DA6"/>
    <w:rsid w:val="00B86D9C"/>
    <w:rsid w:val="00B8711F"/>
    <w:rsid w:val="00B96902"/>
    <w:rsid w:val="00BB2114"/>
    <w:rsid w:val="00BB6BC5"/>
    <w:rsid w:val="00BB7BF6"/>
    <w:rsid w:val="00BC0164"/>
    <w:rsid w:val="00BC0CAC"/>
    <w:rsid w:val="00BC3489"/>
    <w:rsid w:val="00BC6B9A"/>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33CBB"/>
    <w:rsid w:val="00D34652"/>
    <w:rsid w:val="00D34CA0"/>
    <w:rsid w:val="00D37B15"/>
    <w:rsid w:val="00D4169F"/>
    <w:rsid w:val="00D4357B"/>
    <w:rsid w:val="00D43E5E"/>
    <w:rsid w:val="00D466C1"/>
    <w:rsid w:val="00D473C3"/>
    <w:rsid w:val="00D56C43"/>
    <w:rsid w:val="00D6384D"/>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612556A8"/>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5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sman@centerforbusinessmodels.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7NCORP@wakehealth.edu" TargetMode="External"/><Relationship Id="rId12" Type="http://schemas.openxmlformats.org/officeDocument/2006/relationships/hyperlink" Target="https://urldefense.proofpoint.com/v2/url?u=https-3A__link.gotomeeting.com_system-2Dcheck&amp;d=DwMFAg&amp;c=yzGiX0CSJAqkDTmENO9LmP6KfPQitNABR9M66gsTb5w&amp;r=tngVBjW8oDqwtNTRyd51D9bn8ffMNkCXyt0LOyIDHnM&amp;m=LANE6GtxBYsfiSha-Dv9qzewxPWsklhdvhDtjtjEAIE&amp;s=6g0PWgoVjgzffJzajYgBtICnXeFXNKJSSXFngqgM8Z4&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71383285@67.217.9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4086503123,,471383285" TargetMode="External"/><Relationship Id="rId4" Type="http://schemas.openxmlformats.org/officeDocument/2006/relationships/webSettings" Target="webSettings.xml"/><Relationship Id="rId9" Type="http://schemas.openxmlformats.org/officeDocument/2006/relationships/hyperlink" Target="https://urldefense.proofpoint.com/v2/url?u=https-3A__global.gotomeeting.com_join_471383285&amp;d=DwMFAg&amp;c=yzGiX0CSJAqkDTmENO9LmP6KfPQitNABR9M66gsTb5w&amp;r=tngVBjW8oDqwtNTRyd51D9bn8ffMNkCXyt0LOyIDHnM&amp;m=LANE6GtxBYsfiSha-Dv9qzewxPWsklhdvhDtjtjEAIE&amp;s=WJDZ8Cf9WL0LOj5SClMdSYyK577bIWeLEwbm23VxSD4&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6</cp:revision>
  <cp:lastPrinted>2018-09-12T20:29:00Z</cp:lastPrinted>
  <dcterms:created xsi:type="dcterms:W3CDTF">2019-02-19T12:48:00Z</dcterms:created>
  <dcterms:modified xsi:type="dcterms:W3CDTF">2019-02-19T22:06:00Z</dcterms:modified>
</cp:coreProperties>
</file>